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39" w:rsidRDefault="00A61E39"/>
    <w:tbl>
      <w:tblPr>
        <w:tblStyle w:val="TableGrid"/>
        <w:tblW w:w="0" w:type="auto"/>
        <w:tblLook w:val="04A0" w:firstRow="1" w:lastRow="0" w:firstColumn="1" w:lastColumn="0" w:noHBand="0" w:noVBand="1"/>
      </w:tblPr>
      <w:tblGrid>
        <w:gridCol w:w="8658"/>
        <w:gridCol w:w="918"/>
      </w:tblGrid>
      <w:tr w:rsidR="00C379AD" w:rsidTr="00AA11E7">
        <w:tc>
          <w:tcPr>
            <w:tcW w:w="9576" w:type="dxa"/>
            <w:gridSpan w:val="2"/>
          </w:tcPr>
          <w:p w:rsidR="00C379AD" w:rsidRPr="005C03A0" w:rsidRDefault="00C379AD" w:rsidP="00AA11E7">
            <w:pPr>
              <w:rPr>
                <w:b/>
                <w:sz w:val="28"/>
                <w:szCs w:val="28"/>
              </w:rPr>
            </w:pPr>
            <w:r w:rsidRPr="005C03A0">
              <w:rPr>
                <w:b/>
                <w:sz w:val="28"/>
                <w:szCs w:val="28"/>
              </w:rPr>
              <w:t>P-</w:t>
            </w:r>
            <w:r>
              <w:rPr>
                <w:b/>
                <w:sz w:val="28"/>
                <w:szCs w:val="28"/>
              </w:rPr>
              <w:t>17</w:t>
            </w:r>
            <w:r w:rsidRPr="005C03A0">
              <w:rPr>
                <w:b/>
                <w:sz w:val="28"/>
                <w:szCs w:val="28"/>
              </w:rPr>
              <w:t xml:space="preserve"> – </w:t>
            </w:r>
            <w:r>
              <w:rPr>
                <w:b/>
                <w:sz w:val="28"/>
                <w:szCs w:val="28"/>
              </w:rPr>
              <w:t>Quality</w:t>
            </w:r>
          </w:p>
          <w:p w:rsidR="00C379AD" w:rsidRDefault="00C379AD" w:rsidP="00AA11E7">
            <w:pPr>
              <w:rPr>
                <w:b/>
              </w:rPr>
            </w:pPr>
          </w:p>
          <w:p w:rsidR="00C379AD" w:rsidRPr="00C379AD" w:rsidRDefault="00C379AD" w:rsidP="00C379AD">
            <w:pPr>
              <w:autoSpaceDE w:val="0"/>
              <w:autoSpaceDN w:val="0"/>
              <w:adjustRightInd w:val="0"/>
              <w:rPr>
                <w:rFonts w:ascii="ArialMT" w:hAnsi="ArialMT" w:cs="ArialMT"/>
                <w:i/>
                <w:sz w:val="18"/>
                <w:szCs w:val="18"/>
              </w:rPr>
            </w:pPr>
            <w:r w:rsidRPr="00C379AD">
              <w:rPr>
                <w:rFonts w:ascii="ArialMT" w:hAnsi="ArialMT" w:cs="ArialMT"/>
                <w:i/>
                <w:sz w:val="18"/>
                <w:szCs w:val="18"/>
              </w:rPr>
              <w:t>Quality management measures will be re-enforced to ensure the required level</w:t>
            </w:r>
            <w:r>
              <w:rPr>
                <w:rFonts w:ascii="ArialMT" w:hAnsi="ArialMT" w:cs="ArialMT"/>
                <w:i/>
                <w:sz w:val="18"/>
                <w:szCs w:val="18"/>
              </w:rPr>
              <w:t xml:space="preserve"> of quality of the aeronautical </w:t>
            </w:r>
            <w:r w:rsidRPr="00C379AD">
              <w:rPr>
                <w:rFonts w:ascii="ArialMT" w:hAnsi="ArialMT" w:cs="ArialMT"/>
                <w:i/>
                <w:sz w:val="18"/>
                <w:szCs w:val="18"/>
              </w:rPr>
              <w:t>information. In order to assist States in the implementation of an efficient qual</w:t>
            </w:r>
            <w:r>
              <w:rPr>
                <w:rFonts w:ascii="ArialMT" w:hAnsi="ArialMT" w:cs="ArialMT"/>
                <w:i/>
                <w:sz w:val="18"/>
                <w:szCs w:val="18"/>
              </w:rPr>
              <w:t xml:space="preserve">ity management system, guidance </w:t>
            </w:r>
            <w:r w:rsidRPr="00C379AD">
              <w:rPr>
                <w:rFonts w:ascii="ArialMT" w:hAnsi="ArialMT" w:cs="ArialMT"/>
                <w:i/>
                <w:sz w:val="18"/>
                <w:szCs w:val="18"/>
              </w:rPr>
              <w:t>material for the development of a quality manual will be developed.</w:t>
            </w:r>
          </w:p>
          <w:p w:rsidR="00C379AD" w:rsidRPr="00065040" w:rsidRDefault="00C379AD" w:rsidP="00C379AD">
            <w:pPr>
              <w:rPr>
                <w:i/>
              </w:rPr>
            </w:pPr>
          </w:p>
        </w:tc>
      </w:tr>
      <w:tr w:rsidR="00C379AD" w:rsidTr="00AA11E7">
        <w:tc>
          <w:tcPr>
            <w:tcW w:w="8658" w:type="dxa"/>
          </w:tcPr>
          <w:p w:rsidR="00C379AD" w:rsidRDefault="00C379AD" w:rsidP="00AA11E7">
            <w:pPr>
              <w:rPr>
                <w:i/>
              </w:rPr>
            </w:pPr>
          </w:p>
          <w:p w:rsidR="00C379AD" w:rsidRPr="005C03A0" w:rsidRDefault="00C379AD" w:rsidP="00AA11E7">
            <w:pPr>
              <w:rPr>
                <w:i/>
              </w:rPr>
            </w:pPr>
            <w:r w:rsidRPr="005C03A0">
              <w:rPr>
                <w:i/>
              </w:rPr>
              <w:t xml:space="preserve">Enter headings and </w:t>
            </w:r>
            <w:r>
              <w:rPr>
                <w:i/>
              </w:rPr>
              <w:t xml:space="preserve">brief </w:t>
            </w:r>
            <w:r w:rsidRPr="005C03A0">
              <w:rPr>
                <w:i/>
              </w:rPr>
              <w:t>explanatory notes to form a checklist of actions/recommendations to implement the AIM transition Step</w:t>
            </w:r>
          </w:p>
          <w:p w:rsidR="00C379AD" w:rsidRDefault="00C379AD" w:rsidP="00AA11E7">
            <w:pPr>
              <w:rPr>
                <w:b/>
              </w:rPr>
            </w:pPr>
          </w:p>
          <w:p w:rsidR="00C379AD" w:rsidRDefault="00C379AD" w:rsidP="00AA11E7">
            <w:pPr>
              <w:rPr>
                <w:b/>
              </w:rPr>
            </w:pPr>
            <w:r w:rsidRPr="003901E9">
              <w:rPr>
                <w:b/>
              </w:rPr>
              <w:t>EXAMPLE</w:t>
            </w:r>
            <w:r>
              <w:rPr>
                <w:b/>
              </w:rPr>
              <w:t>S</w:t>
            </w:r>
            <w:r w:rsidRPr="003901E9">
              <w:rPr>
                <w:b/>
              </w:rPr>
              <w:t>:</w:t>
            </w:r>
          </w:p>
          <w:p w:rsidR="00C379AD" w:rsidRDefault="00C379AD" w:rsidP="00AA11E7">
            <w:pPr>
              <w:rPr>
                <w:b/>
              </w:rPr>
            </w:pPr>
          </w:p>
          <w:p w:rsidR="00C379AD" w:rsidRDefault="00C379AD" w:rsidP="00AA11E7">
            <w:pPr>
              <w:rPr>
                <w:b/>
              </w:rPr>
            </w:pPr>
            <w:r>
              <w:rPr>
                <w:b/>
              </w:rPr>
              <w:t>Regular reviews of the entire IAIP document set to ensure it is consistent and accurate</w:t>
            </w:r>
            <w:r>
              <w:rPr>
                <w:b/>
              </w:rPr>
              <w:t>.</w:t>
            </w:r>
          </w:p>
          <w:p w:rsidR="00C379AD" w:rsidRDefault="00C379AD" w:rsidP="00C379AD">
            <w:r>
              <w:t xml:space="preserve">The IAIP document set is updated at regular intervals (at least once per year) </w:t>
            </w:r>
          </w:p>
          <w:p w:rsidR="00C379AD" w:rsidRDefault="00C379AD" w:rsidP="00AA11E7"/>
          <w:p w:rsidR="00C379AD" w:rsidRDefault="00C379AD" w:rsidP="00AA11E7">
            <w:pPr>
              <w:rPr>
                <w:b/>
              </w:rPr>
            </w:pPr>
          </w:p>
          <w:p w:rsidR="00C379AD" w:rsidRDefault="00C379AD" w:rsidP="00AA11E7">
            <w:pPr>
              <w:rPr>
                <w:b/>
              </w:rPr>
            </w:pPr>
            <w:r>
              <w:rPr>
                <w:b/>
              </w:rPr>
              <w:t>Proof reading and peer review of AIP amendments before publication.</w:t>
            </w:r>
          </w:p>
          <w:p w:rsidR="00C379AD" w:rsidRDefault="00C379AD" w:rsidP="00AA11E7">
            <w:pPr>
              <w:rPr>
                <w:b/>
              </w:rPr>
            </w:pPr>
            <w:r>
              <w:rPr>
                <w:b/>
              </w:rPr>
              <w:t>Typographical and other errors</w:t>
            </w:r>
          </w:p>
          <w:p w:rsidR="00C379AD" w:rsidRPr="005C03A0" w:rsidRDefault="00C379AD" w:rsidP="00AA11E7">
            <w:r w:rsidRPr="005C03A0">
              <w:t>Ensure complete understanding of Aeronautical Information Management concepts including:</w:t>
            </w:r>
          </w:p>
          <w:p w:rsidR="00C379AD" w:rsidRDefault="00C379AD" w:rsidP="00AA11E7">
            <w:pPr>
              <w:pStyle w:val="ListParagraph"/>
              <w:numPr>
                <w:ilvl w:val="0"/>
                <w:numId w:val="4"/>
              </w:numPr>
              <w:ind w:left="360"/>
            </w:pPr>
            <w:r>
              <w:t>National obligations under Annex 15 to the Convention on Civil Aviation.</w:t>
            </w:r>
          </w:p>
          <w:p w:rsidR="00C379AD" w:rsidRDefault="00C379AD" w:rsidP="00AA11E7">
            <w:pPr>
              <w:pStyle w:val="ListParagraph"/>
              <w:numPr>
                <w:ilvl w:val="0"/>
                <w:numId w:val="4"/>
              </w:numPr>
              <w:ind w:left="360"/>
            </w:pPr>
            <w:r>
              <w:t>AIRAC cycle and Annex 15 requirements for advance notification of significant changes.</w:t>
            </w:r>
          </w:p>
          <w:p w:rsidR="00C379AD" w:rsidRDefault="00C379AD" w:rsidP="00AA11E7">
            <w:pPr>
              <w:pStyle w:val="ListParagraph"/>
              <w:numPr>
                <w:ilvl w:val="0"/>
                <w:numId w:val="4"/>
              </w:numPr>
              <w:ind w:left="360"/>
            </w:pPr>
            <w:r>
              <w:t xml:space="preserve">Definition of significant changes. </w:t>
            </w:r>
          </w:p>
          <w:p w:rsidR="00C379AD" w:rsidRDefault="00C379AD" w:rsidP="00AA11E7">
            <w:pPr>
              <w:pStyle w:val="ListParagraph"/>
              <w:numPr>
                <w:ilvl w:val="0"/>
                <w:numId w:val="4"/>
              </w:numPr>
              <w:ind w:left="360"/>
            </w:pPr>
            <w:r>
              <w:t>Quality requirements for Accuracy, resolution and integrity</w:t>
            </w:r>
          </w:p>
          <w:p w:rsidR="00C379AD" w:rsidRDefault="00C379AD" w:rsidP="00AA11E7">
            <w:pPr>
              <w:rPr>
                <w:b/>
              </w:rPr>
            </w:pPr>
          </w:p>
          <w:p w:rsidR="00C379AD" w:rsidRDefault="00C379AD" w:rsidP="00AA11E7">
            <w:pPr>
              <w:rPr>
                <w:b/>
              </w:rPr>
            </w:pPr>
            <w:r>
              <w:rPr>
                <w:b/>
              </w:rPr>
              <w:t>Annex 15 and Doc 8126 Compliance checks for all NOTAMS</w:t>
            </w:r>
          </w:p>
          <w:p w:rsidR="00C379AD" w:rsidRDefault="00C379AD" w:rsidP="00AA11E7">
            <w:r w:rsidRPr="00C379AD">
              <w:t xml:space="preserve">Standards, recommended practices and guidance for the compilation and distribution of NOTAMS are defined in Annex 15 and Doc 8126 AIS Manual.  </w:t>
            </w:r>
          </w:p>
          <w:p w:rsidR="002641BD" w:rsidRDefault="00C379AD" w:rsidP="002641BD">
            <w:pPr>
              <w:pStyle w:val="ListParagraph"/>
              <w:numPr>
                <w:ilvl w:val="0"/>
                <w:numId w:val="6"/>
              </w:numPr>
              <w:ind w:left="360"/>
            </w:pPr>
            <w:r>
              <w:t xml:space="preserve">OPADD procedures should be used to complement the </w:t>
            </w:r>
            <w:r w:rsidR="002641BD">
              <w:t xml:space="preserve">procedures specified in </w:t>
            </w:r>
            <w:r>
              <w:t>ICAO docs to ensure concise, consistent NOTAMS.</w:t>
            </w:r>
          </w:p>
          <w:p w:rsidR="00C379AD" w:rsidRPr="00C379AD" w:rsidRDefault="00C379AD" w:rsidP="002641BD">
            <w:pPr>
              <w:ind w:left="360" w:hanging="360"/>
              <w:rPr>
                <w:b/>
              </w:rPr>
            </w:pPr>
          </w:p>
          <w:p w:rsidR="00C379AD" w:rsidRDefault="00C379AD" w:rsidP="00AA11E7">
            <w:pPr>
              <w:pStyle w:val="ListParagraph"/>
              <w:ind w:left="360"/>
            </w:pPr>
          </w:p>
          <w:p w:rsidR="00C379AD" w:rsidRDefault="002641BD" w:rsidP="00AA11E7">
            <w:pPr>
              <w:rPr>
                <w:b/>
              </w:rPr>
            </w:pPr>
            <w:r>
              <w:rPr>
                <w:b/>
              </w:rPr>
              <w:t>AIP Amendment Distribution Checks</w:t>
            </w:r>
          </w:p>
          <w:p w:rsidR="002641BD" w:rsidRPr="002641BD" w:rsidRDefault="002641BD" w:rsidP="00AA11E7">
            <w:r w:rsidRPr="002641BD">
              <w:t xml:space="preserve">Conduct surveys and other checks to ensure that end users of AIP are receiving AIP Amendments, SUPPS and AIC in accordance with AIRAC </w:t>
            </w:r>
          </w:p>
          <w:p w:rsidR="00C379AD" w:rsidRDefault="00C379AD" w:rsidP="00AA11E7"/>
          <w:p w:rsidR="00C379AD" w:rsidRDefault="00C379AD" w:rsidP="00AA11E7">
            <w:pPr>
              <w:rPr>
                <w:b/>
              </w:rPr>
            </w:pPr>
            <w:r>
              <w:rPr>
                <w:b/>
              </w:rPr>
              <w:t>Heading</w:t>
            </w:r>
          </w:p>
          <w:p w:rsidR="00C379AD" w:rsidRPr="005C03A0" w:rsidRDefault="00C379AD" w:rsidP="00AA11E7">
            <w:r>
              <w:t>Explanatory notes/discussion</w:t>
            </w:r>
            <w:r w:rsidRPr="005C03A0">
              <w:t>:</w:t>
            </w:r>
          </w:p>
          <w:p w:rsidR="00C379AD" w:rsidRDefault="00C379AD" w:rsidP="00AA11E7">
            <w:pPr>
              <w:pStyle w:val="ListParagraph"/>
              <w:numPr>
                <w:ilvl w:val="0"/>
                <w:numId w:val="4"/>
              </w:numPr>
              <w:ind w:left="360"/>
            </w:pPr>
            <w:r>
              <w:t>Points (if any)…</w:t>
            </w:r>
          </w:p>
          <w:p w:rsidR="00C379AD" w:rsidRDefault="00C379AD" w:rsidP="00AA11E7">
            <w:pPr>
              <w:pStyle w:val="ListParagraph"/>
              <w:numPr>
                <w:ilvl w:val="0"/>
                <w:numId w:val="4"/>
              </w:numPr>
              <w:ind w:left="360"/>
            </w:pPr>
            <w:r>
              <w:t>Points…..</w:t>
            </w:r>
          </w:p>
          <w:p w:rsidR="002641BD" w:rsidRDefault="002641BD" w:rsidP="002641BD"/>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Pr="003901E9" w:rsidRDefault="002641BD" w:rsidP="002641BD">
            <w:r>
              <w:t>Points…..</w:t>
            </w:r>
          </w:p>
        </w:tc>
        <w:tc>
          <w:tcPr>
            <w:tcW w:w="918" w:type="dxa"/>
          </w:tcPr>
          <w:p w:rsidR="00C379AD" w:rsidRDefault="00C379AD" w:rsidP="00AA11E7">
            <w:pPr>
              <w:jc w:val="center"/>
            </w:pPr>
          </w:p>
        </w:tc>
      </w:tr>
    </w:tbl>
    <w:p w:rsidR="00C379AD" w:rsidRDefault="00C379AD"/>
    <w:p w:rsidR="002641BD" w:rsidRDefault="002641BD">
      <w:pPr>
        <w:spacing w:after="120"/>
      </w:pPr>
      <w:r>
        <w:br w:type="page"/>
      </w:r>
    </w:p>
    <w:tbl>
      <w:tblPr>
        <w:tblStyle w:val="TableGrid"/>
        <w:tblW w:w="0" w:type="auto"/>
        <w:tblLook w:val="04A0" w:firstRow="1" w:lastRow="0" w:firstColumn="1" w:lastColumn="0" w:noHBand="0" w:noVBand="1"/>
      </w:tblPr>
      <w:tblGrid>
        <w:gridCol w:w="8658"/>
        <w:gridCol w:w="918"/>
      </w:tblGrid>
      <w:tr w:rsidR="002641BD" w:rsidTr="00AA11E7">
        <w:tc>
          <w:tcPr>
            <w:tcW w:w="9576" w:type="dxa"/>
            <w:gridSpan w:val="2"/>
          </w:tcPr>
          <w:p w:rsidR="002641BD" w:rsidRPr="005C03A0" w:rsidRDefault="002641BD" w:rsidP="00AA11E7">
            <w:pPr>
              <w:rPr>
                <w:b/>
                <w:sz w:val="28"/>
                <w:szCs w:val="28"/>
              </w:rPr>
            </w:pPr>
            <w:r w:rsidRPr="005C03A0">
              <w:rPr>
                <w:b/>
                <w:sz w:val="28"/>
                <w:szCs w:val="28"/>
              </w:rPr>
              <w:lastRenderedPageBreak/>
              <w:t xml:space="preserve">P-18 – </w:t>
            </w:r>
            <w:r>
              <w:rPr>
                <w:b/>
                <w:sz w:val="28"/>
                <w:szCs w:val="28"/>
              </w:rPr>
              <w:t>AGREEMENTS WITH DATA ORIGINATORS</w:t>
            </w:r>
          </w:p>
          <w:p w:rsidR="002641BD" w:rsidRDefault="002641BD" w:rsidP="00AA11E7">
            <w:pPr>
              <w:rPr>
                <w:b/>
              </w:rPr>
            </w:pPr>
          </w:p>
          <w:p w:rsidR="002641BD" w:rsidRDefault="002641BD" w:rsidP="00AA11E7">
            <w:pPr>
              <w:rPr>
                <w:i/>
              </w:rPr>
            </w:pPr>
            <w:r w:rsidRPr="00065040">
              <w:rPr>
                <w:i/>
              </w:rPr>
              <w:t>Data of high quality can only be maintained if the source material is of good quality. States will be required to better control relationships along the whole data chain from the producer to the distributor. This may take the form of template service level agreements with data originators, neighbouring States, information service providers or others</w:t>
            </w:r>
            <w:r>
              <w:rPr>
                <w:i/>
              </w:rPr>
              <w:t>.</w:t>
            </w:r>
          </w:p>
          <w:p w:rsidR="002641BD" w:rsidRPr="00065040" w:rsidRDefault="002641BD" w:rsidP="00AA11E7">
            <w:pPr>
              <w:rPr>
                <w:i/>
              </w:rPr>
            </w:pPr>
          </w:p>
        </w:tc>
      </w:tr>
      <w:tr w:rsidR="002641BD" w:rsidTr="00AA11E7">
        <w:tc>
          <w:tcPr>
            <w:tcW w:w="8658" w:type="dxa"/>
          </w:tcPr>
          <w:p w:rsidR="002641BD" w:rsidRDefault="002641BD" w:rsidP="00AA11E7">
            <w:pPr>
              <w:rPr>
                <w:i/>
              </w:rPr>
            </w:pPr>
          </w:p>
          <w:p w:rsidR="002641BD" w:rsidRPr="005C03A0" w:rsidRDefault="002641BD" w:rsidP="00AA11E7">
            <w:pPr>
              <w:rPr>
                <w:i/>
              </w:rPr>
            </w:pPr>
            <w:r w:rsidRPr="005C03A0">
              <w:rPr>
                <w:i/>
              </w:rPr>
              <w:t xml:space="preserve">Enter headings and </w:t>
            </w:r>
            <w:r>
              <w:rPr>
                <w:i/>
              </w:rPr>
              <w:t xml:space="preserve">brief </w:t>
            </w:r>
            <w:r w:rsidRPr="005C03A0">
              <w:rPr>
                <w:i/>
              </w:rPr>
              <w:t>explanatory notes to form a checklist of actions/recommendations to implement the AIM transition Step</w:t>
            </w:r>
          </w:p>
          <w:p w:rsidR="002641BD" w:rsidRDefault="002641BD" w:rsidP="00AA11E7">
            <w:pPr>
              <w:rPr>
                <w:b/>
              </w:rPr>
            </w:pPr>
          </w:p>
          <w:p w:rsidR="002641BD" w:rsidRDefault="002641BD" w:rsidP="00AA11E7">
            <w:pPr>
              <w:rPr>
                <w:b/>
              </w:rPr>
            </w:pPr>
            <w:r w:rsidRPr="003901E9">
              <w:rPr>
                <w:b/>
              </w:rPr>
              <w:t>EXAMPLE</w:t>
            </w:r>
            <w:r>
              <w:rPr>
                <w:b/>
              </w:rPr>
              <w:t>S</w:t>
            </w:r>
            <w:r w:rsidRPr="003901E9">
              <w:rPr>
                <w:b/>
              </w:rPr>
              <w:t>:</w:t>
            </w:r>
          </w:p>
          <w:p w:rsidR="002641BD" w:rsidRDefault="002641BD" w:rsidP="00AA11E7">
            <w:pPr>
              <w:rPr>
                <w:b/>
              </w:rPr>
            </w:pPr>
          </w:p>
          <w:p w:rsidR="002641BD" w:rsidRDefault="002641BD" w:rsidP="00AA11E7">
            <w:pPr>
              <w:rPr>
                <w:b/>
              </w:rPr>
            </w:pPr>
            <w:r>
              <w:rPr>
                <w:b/>
              </w:rPr>
              <w:t>Identify a complete list of authorized originators of AIS Information (static and dynamic).</w:t>
            </w:r>
          </w:p>
          <w:p w:rsidR="002641BD" w:rsidRDefault="002641BD" w:rsidP="00AA11E7">
            <w:r>
              <w:t>A list of authorized data originators will clearly identify the organizations and stakeholders responsible for supplying specific information to the AIS organization, and avoid duplication or conflicting information from multiple origination points supplying the same information.</w:t>
            </w:r>
          </w:p>
          <w:p w:rsidR="002641BD" w:rsidRDefault="002641BD" w:rsidP="00AA11E7">
            <w:pPr>
              <w:pStyle w:val="ListParagraph"/>
              <w:numPr>
                <w:ilvl w:val="0"/>
                <w:numId w:val="5"/>
              </w:numPr>
              <w:ind w:left="360"/>
            </w:pPr>
            <w:r>
              <w:t>Airport Operators</w:t>
            </w:r>
          </w:p>
          <w:p w:rsidR="002641BD" w:rsidRDefault="002641BD" w:rsidP="00AA11E7">
            <w:pPr>
              <w:pStyle w:val="ListParagraph"/>
              <w:numPr>
                <w:ilvl w:val="0"/>
                <w:numId w:val="5"/>
              </w:numPr>
              <w:ind w:left="360"/>
            </w:pPr>
            <w:r>
              <w:t>Military Organizations</w:t>
            </w:r>
          </w:p>
          <w:p w:rsidR="002641BD" w:rsidRDefault="002641BD" w:rsidP="00AA11E7">
            <w:pPr>
              <w:pStyle w:val="ListParagraph"/>
              <w:numPr>
                <w:ilvl w:val="0"/>
                <w:numId w:val="5"/>
              </w:numPr>
              <w:ind w:left="360"/>
            </w:pPr>
            <w:r>
              <w:t>Air Navigation Service Providers</w:t>
            </w:r>
          </w:p>
          <w:p w:rsidR="002641BD" w:rsidRDefault="002641BD" w:rsidP="00AA11E7">
            <w:pPr>
              <w:pStyle w:val="ListParagraph"/>
              <w:numPr>
                <w:ilvl w:val="0"/>
                <w:numId w:val="5"/>
              </w:numPr>
              <w:ind w:left="360"/>
            </w:pPr>
            <w:r>
              <w:t>Surveyors</w:t>
            </w:r>
          </w:p>
          <w:p w:rsidR="002641BD" w:rsidRDefault="002641BD" w:rsidP="00AA11E7">
            <w:pPr>
              <w:pStyle w:val="ListParagraph"/>
              <w:numPr>
                <w:ilvl w:val="0"/>
                <w:numId w:val="5"/>
              </w:numPr>
              <w:ind w:left="360"/>
            </w:pPr>
            <w:r>
              <w:t>Etc….</w:t>
            </w:r>
          </w:p>
          <w:p w:rsidR="002641BD" w:rsidRDefault="002641BD" w:rsidP="00AA11E7"/>
          <w:p w:rsidR="002641BD" w:rsidRDefault="002641BD" w:rsidP="00AA11E7">
            <w:pPr>
              <w:rPr>
                <w:b/>
              </w:rPr>
            </w:pPr>
          </w:p>
          <w:p w:rsidR="002641BD" w:rsidRDefault="002641BD" w:rsidP="00AA11E7">
            <w:pPr>
              <w:rPr>
                <w:b/>
              </w:rPr>
            </w:pPr>
            <w:r w:rsidRPr="005C03A0">
              <w:rPr>
                <w:b/>
              </w:rPr>
              <w:t>Conduct workshops and training courses for data originators</w:t>
            </w:r>
            <w:r>
              <w:rPr>
                <w:b/>
              </w:rPr>
              <w:t>.</w:t>
            </w:r>
          </w:p>
          <w:p w:rsidR="002641BD" w:rsidRPr="005C03A0" w:rsidRDefault="002641BD" w:rsidP="00AA11E7">
            <w:r w:rsidRPr="005C03A0">
              <w:t>Ensure complete understanding of Aeronautical Information Management concepts including:</w:t>
            </w:r>
          </w:p>
          <w:p w:rsidR="002641BD" w:rsidRDefault="002641BD" w:rsidP="00AA11E7">
            <w:pPr>
              <w:pStyle w:val="ListParagraph"/>
              <w:numPr>
                <w:ilvl w:val="0"/>
                <w:numId w:val="4"/>
              </w:numPr>
              <w:ind w:left="360"/>
            </w:pPr>
            <w:r>
              <w:t>National obligations under Annex 15 to the Convention on Civil Aviation.</w:t>
            </w:r>
          </w:p>
          <w:p w:rsidR="002641BD" w:rsidRDefault="002641BD" w:rsidP="00AA11E7">
            <w:pPr>
              <w:pStyle w:val="ListParagraph"/>
              <w:numPr>
                <w:ilvl w:val="0"/>
                <w:numId w:val="4"/>
              </w:numPr>
              <w:ind w:left="360"/>
            </w:pPr>
            <w:r>
              <w:t>AIRAC cycle and Annex 15 requirements for advance notification of significant changes.</w:t>
            </w:r>
          </w:p>
          <w:p w:rsidR="002641BD" w:rsidRDefault="002641BD" w:rsidP="00AA11E7">
            <w:pPr>
              <w:pStyle w:val="ListParagraph"/>
              <w:numPr>
                <w:ilvl w:val="0"/>
                <w:numId w:val="4"/>
              </w:numPr>
              <w:ind w:left="360"/>
            </w:pPr>
            <w:r>
              <w:t xml:space="preserve">Definition of significant changes. </w:t>
            </w:r>
          </w:p>
          <w:p w:rsidR="002641BD" w:rsidRDefault="002641BD" w:rsidP="00AA11E7">
            <w:pPr>
              <w:pStyle w:val="ListParagraph"/>
              <w:numPr>
                <w:ilvl w:val="0"/>
                <w:numId w:val="4"/>
              </w:numPr>
              <w:ind w:left="360"/>
            </w:pPr>
            <w:r>
              <w:t>Quality requirements for Accuracy, resolution and integrity</w:t>
            </w:r>
          </w:p>
          <w:p w:rsidR="002641BD" w:rsidRDefault="002641BD" w:rsidP="00AA11E7">
            <w:pPr>
              <w:rPr>
                <w:b/>
              </w:rPr>
            </w:pPr>
          </w:p>
          <w:p w:rsidR="002641BD" w:rsidRDefault="002641BD" w:rsidP="00AA11E7">
            <w:pPr>
              <w:rPr>
                <w:b/>
              </w:rPr>
            </w:pPr>
          </w:p>
          <w:p w:rsidR="002641BD" w:rsidRDefault="002641BD" w:rsidP="00AA11E7">
            <w:pPr>
              <w:rPr>
                <w:b/>
              </w:rPr>
            </w:pPr>
            <w:r w:rsidRPr="004C37C3">
              <w:rPr>
                <w:b/>
              </w:rPr>
              <w:t>Specify the format for data to be provided by data originators</w:t>
            </w:r>
            <w:r>
              <w:rPr>
                <w:b/>
              </w:rPr>
              <w:t>.</w:t>
            </w:r>
          </w:p>
          <w:p w:rsidR="002641BD" w:rsidRDefault="002641BD" w:rsidP="00AA11E7">
            <w:r w:rsidRPr="004C37C3">
              <w:t>Ensure consistency in the data received.  Templates or pro-</w:t>
            </w:r>
            <w:proofErr w:type="spellStart"/>
            <w:r w:rsidRPr="004C37C3">
              <w:t>formas</w:t>
            </w:r>
            <w:proofErr w:type="spellEnd"/>
            <w:r w:rsidRPr="004C37C3">
              <w:t xml:space="preserve"> could be used to ensure standardized presentation of data by originators</w:t>
            </w:r>
            <w:r>
              <w:t>, and</w:t>
            </w:r>
            <w:r w:rsidRPr="004C37C3">
              <w:t xml:space="preserve"> to </w:t>
            </w:r>
            <w:r>
              <w:t xml:space="preserve">ensure data complies with </w:t>
            </w:r>
            <w:r w:rsidRPr="004C37C3">
              <w:t>Annex 15 requirements for accuracy, resolution and integrity.</w:t>
            </w:r>
          </w:p>
          <w:p w:rsidR="002641BD" w:rsidRDefault="002641BD" w:rsidP="00AA11E7">
            <w:pPr>
              <w:pStyle w:val="ListParagraph"/>
              <w:ind w:left="360"/>
            </w:pPr>
          </w:p>
          <w:p w:rsidR="002641BD" w:rsidRDefault="002641BD" w:rsidP="00AA11E7">
            <w:pPr>
              <w:rPr>
                <w:b/>
              </w:rPr>
            </w:pPr>
            <w:r>
              <w:rPr>
                <w:b/>
              </w:rPr>
              <w:t>Heading</w:t>
            </w:r>
          </w:p>
          <w:p w:rsidR="002641BD" w:rsidRPr="005C03A0" w:rsidRDefault="002641BD" w:rsidP="00AA11E7">
            <w:r>
              <w:t>Explanatory notes/discussion</w:t>
            </w:r>
            <w:r w:rsidRPr="005C03A0">
              <w:t>:</w:t>
            </w:r>
          </w:p>
          <w:p w:rsidR="002641BD" w:rsidRDefault="002641BD" w:rsidP="00AA11E7">
            <w:pPr>
              <w:pStyle w:val="ListParagraph"/>
              <w:numPr>
                <w:ilvl w:val="0"/>
                <w:numId w:val="4"/>
              </w:numPr>
              <w:ind w:left="360"/>
            </w:pPr>
            <w:r>
              <w:t>Points (if any)…</w:t>
            </w:r>
          </w:p>
          <w:p w:rsidR="002641BD" w:rsidRDefault="002641BD" w:rsidP="00AA11E7">
            <w:pPr>
              <w:pStyle w:val="ListParagraph"/>
              <w:numPr>
                <w:ilvl w:val="0"/>
                <w:numId w:val="4"/>
              </w:numPr>
              <w:ind w:left="360"/>
            </w:pPr>
            <w:r>
              <w:t>Points…..</w:t>
            </w:r>
          </w:p>
          <w:p w:rsidR="002641BD" w:rsidRDefault="002641BD" w:rsidP="00AA11E7"/>
          <w:p w:rsidR="002641BD" w:rsidRDefault="002641BD" w:rsidP="00AA11E7">
            <w:pPr>
              <w:rPr>
                <w:b/>
              </w:rPr>
            </w:pPr>
            <w:r>
              <w:rPr>
                <w:b/>
              </w:rPr>
              <w:t>Heading</w:t>
            </w:r>
          </w:p>
          <w:p w:rsidR="002641BD" w:rsidRPr="005C03A0" w:rsidRDefault="002641BD" w:rsidP="00AA11E7">
            <w:r>
              <w:t>Explanatory notes/discussion</w:t>
            </w:r>
            <w:r w:rsidRPr="005C03A0">
              <w:t>:</w:t>
            </w:r>
          </w:p>
          <w:p w:rsidR="002641BD" w:rsidRDefault="002641BD" w:rsidP="00AA11E7">
            <w:pPr>
              <w:pStyle w:val="ListParagraph"/>
              <w:numPr>
                <w:ilvl w:val="0"/>
                <w:numId w:val="4"/>
              </w:numPr>
              <w:ind w:left="360"/>
            </w:pPr>
            <w:r>
              <w:t>Points (if any)…</w:t>
            </w:r>
          </w:p>
          <w:p w:rsidR="002641BD" w:rsidRPr="003901E9" w:rsidRDefault="002641BD" w:rsidP="00AA11E7">
            <w:pPr>
              <w:pStyle w:val="ListParagraph"/>
              <w:numPr>
                <w:ilvl w:val="0"/>
                <w:numId w:val="4"/>
              </w:numPr>
              <w:ind w:left="360"/>
            </w:pPr>
            <w:r>
              <w:t>Points…..</w:t>
            </w:r>
          </w:p>
        </w:tc>
        <w:tc>
          <w:tcPr>
            <w:tcW w:w="918" w:type="dxa"/>
          </w:tcPr>
          <w:p w:rsidR="002641BD" w:rsidRDefault="002641BD" w:rsidP="00AA11E7">
            <w:pPr>
              <w:jc w:val="center"/>
            </w:pPr>
          </w:p>
        </w:tc>
      </w:tr>
    </w:tbl>
    <w:p w:rsidR="002641BD" w:rsidRDefault="002641BD"/>
    <w:tbl>
      <w:tblPr>
        <w:tblStyle w:val="TableGrid"/>
        <w:tblW w:w="0" w:type="auto"/>
        <w:tblLook w:val="04A0" w:firstRow="1" w:lastRow="0" w:firstColumn="1" w:lastColumn="0" w:noHBand="0" w:noVBand="1"/>
      </w:tblPr>
      <w:tblGrid>
        <w:gridCol w:w="8658"/>
        <w:gridCol w:w="918"/>
      </w:tblGrid>
      <w:tr w:rsidR="002641BD" w:rsidTr="00AA11E7">
        <w:tc>
          <w:tcPr>
            <w:tcW w:w="9576" w:type="dxa"/>
            <w:gridSpan w:val="2"/>
          </w:tcPr>
          <w:p w:rsidR="002641BD" w:rsidRPr="005C03A0" w:rsidRDefault="002641BD" w:rsidP="00AA11E7">
            <w:pPr>
              <w:rPr>
                <w:b/>
                <w:sz w:val="28"/>
                <w:szCs w:val="28"/>
              </w:rPr>
            </w:pPr>
            <w:r>
              <w:rPr>
                <w:b/>
                <w:sz w:val="28"/>
                <w:szCs w:val="28"/>
              </w:rPr>
              <w:lastRenderedPageBreak/>
              <w:t>P16</w:t>
            </w:r>
            <w:r w:rsidRPr="005C03A0">
              <w:rPr>
                <w:b/>
                <w:sz w:val="28"/>
                <w:szCs w:val="28"/>
              </w:rPr>
              <w:t xml:space="preserve"> – </w:t>
            </w:r>
            <w:r>
              <w:rPr>
                <w:b/>
                <w:sz w:val="28"/>
                <w:szCs w:val="28"/>
              </w:rPr>
              <w:t>Training</w:t>
            </w:r>
          </w:p>
          <w:p w:rsidR="002641BD" w:rsidRDefault="002641BD" w:rsidP="00AA11E7">
            <w:pPr>
              <w:rPr>
                <w:b/>
              </w:rPr>
            </w:pPr>
          </w:p>
          <w:p w:rsidR="002641BD" w:rsidRPr="002641BD" w:rsidRDefault="002641BD" w:rsidP="002641BD">
            <w:pPr>
              <w:autoSpaceDE w:val="0"/>
              <w:autoSpaceDN w:val="0"/>
              <w:adjustRightInd w:val="0"/>
              <w:rPr>
                <w:rFonts w:ascii="ArialMT" w:hAnsi="ArialMT" w:cs="ArialMT"/>
                <w:i/>
                <w:sz w:val="18"/>
                <w:szCs w:val="18"/>
              </w:rPr>
            </w:pPr>
            <w:r w:rsidRPr="002641BD">
              <w:rPr>
                <w:rFonts w:ascii="ArialMT" w:hAnsi="ArialMT" w:cs="ArialMT"/>
                <w:i/>
                <w:sz w:val="18"/>
                <w:szCs w:val="18"/>
              </w:rPr>
              <w:t>The training of personnel will be adapted to the new requirements on skill and</w:t>
            </w:r>
            <w:r>
              <w:rPr>
                <w:rFonts w:ascii="ArialMT" w:hAnsi="ArialMT" w:cs="ArialMT"/>
                <w:i/>
                <w:sz w:val="18"/>
                <w:szCs w:val="18"/>
              </w:rPr>
              <w:t xml:space="preserve"> competencies introduced by the </w:t>
            </w:r>
            <w:r w:rsidRPr="002641BD">
              <w:rPr>
                <w:rFonts w:ascii="ArialMT" w:hAnsi="ArialMT" w:cs="ArialMT"/>
                <w:i/>
                <w:sz w:val="18"/>
                <w:szCs w:val="18"/>
              </w:rPr>
              <w:t>transition to AIM.</w:t>
            </w:r>
          </w:p>
          <w:p w:rsidR="002641BD" w:rsidRPr="00065040" w:rsidRDefault="002641BD" w:rsidP="002641BD">
            <w:pPr>
              <w:rPr>
                <w:i/>
              </w:rPr>
            </w:pPr>
          </w:p>
        </w:tc>
      </w:tr>
      <w:tr w:rsidR="002641BD" w:rsidTr="00AA11E7">
        <w:tc>
          <w:tcPr>
            <w:tcW w:w="8658" w:type="dxa"/>
          </w:tcPr>
          <w:p w:rsidR="002641BD" w:rsidRDefault="002641BD" w:rsidP="00AA11E7">
            <w:pPr>
              <w:rPr>
                <w:i/>
              </w:rPr>
            </w:pPr>
          </w:p>
          <w:p w:rsidR="002641BD" w:rsidRPr="005C03A0" w:rsidRDefault="002641BD" w:rsidP="00AA11E7">
            <w:pPr>
              <w:rPr>
                <w:i/>
              </w:rPr>
            </w:pPr>
            <w:r w:rsidRPr="005C03A0">
              <w:rPr>
                <w:i/>
              </w:rPr>
              <w:t xml:space="preserve">Enter headings and </w:t>
            </w:r>
            <w:r>
              <w:rPr>
                <w:i/>
              </w:rPr>
              <w:t xml:space="preserve">brief </w:t>
            </w:r>
            <w:r w:rsidRPr="005C03A0">
              <w:rPr>
                <w:i/>
              </w:rPr>
              <w:t>explanatory notes to form a checklist of actions/recommendations to implement the AIM transition Step</w:t>
            </w:r>
          </w:p>
          <w:p w:rsidR="002641BD" w:rsidRDefault="002641BD" w:rsidP="00AA11E7">
            <w:pPr>
              <w:rPr>
                <w:b/>
              </w:rPr>
            </w:pPr>
          </w:p>
          <w:p w:rsidR="002641BD" w:rsidRDefault="002641BD" w:rsidP="00AA11E7">
            <w:pPr>
              <w:rPr>
                <w:b/>
              </w:rPr>
            </w:pPr>
            <w:r>
              <w:rPr>
                <w:b/>
              </w:rPr>
              <w:t>Heading</w:t>
            </w:r>
          </w:p>
          <w:p w:rsidR="002641BD" w:rsidRPr="005C03A0" w:rsidRDefault="002641BD" w:rsidP="00AA11E7">
            <w:r>
              <w:t>Explanatory notes/discussion</w:t>
            </w:r>
            <w:r w:rsidRPr="005C03A0">
              <w:t>:</w:t>
            </w:r>
          </w:p>
          <w:p w:rsidR="002641BD" w:rsidRDefault="002641BD" w:rsidP="00AA11E7">
            <w:pPr>
              <w:pStyle w:val="ListParagraph"/>
              <w:numPr>
                <w:ilvl w:val="0"/>
                <w:numId w:val="4"/>
              </w:numPr>
              <w:ind w:left="360"/>
            </w:pPr>
            <w:r>
              <w:t>Points (if any)…</w:t>
            </w:r>
          </w:p>
          <w:p w:rsidR="002641BD" w:rsidRDefault="002641BD" w:rsidP="00AA11E7">
            <w:pPr>
              <w:pStyle w:val="ListParagraph"/>
              <w:numPr>
                <w:ilvl w:val="0"/>
                <w:numId w:val="4"/>
              </w:numPr>
              <w:ind w:left="360"/>
            </w:pPr>
            <w:r>
              <w:t>Points…..</w:t>
            </w:r>
          </w:p>
          <w:p w:rsidR="002641BD" w:rsidRDefault="002641BD" w:rsidP="00AA11E7"/>
          <w:p w:rsidR="002641BD" w:rsidRDefault="002641BD" w:rsidP="00AA11E7">
            <w:pPr>
              <w:rPr>
                <w:b/>
              </w:rPr>
            </w:pPr>
            <w:r>
              <w:rPr>
                <w:b/>
              </w:rPr>
              <w:t>Heading</w:t>
            </w:r>
          </w:p>
          <w:p w:rsidR="002641BD" w:rsidRPr="005C03A0" w:rsidRDefault="002641BD" w:rsidP="00AA11E7">
            <w:r>
              <w:t>Explanatory notes/discussion</w:t>
            </w:r>
            <w:r w:rsidRPr="005C03A0">
              <w:t>:</w:t>
            </w:r>
          </w:p>
          <w:p w:rsidR="002641BD" w:rsidRDefault="002641BD" w:rsidP="00AA11E7">
            <w:pPr>
              <w:pStyle w:val="ListParagraph"/>
              <w:numPr>
                <w:ilvl w:val="0"/>
                <w:numId w:val="4"/>
              </w:numPr>
              <w:ind w:left="360"/>
            </w:pPr>
            <w:r>
              <w:t>Points (if any)…</w:t>
            </w:r>
          </w:p>
          <w:p w:rsidR="002641BD" w:rsidRDefault="002641BD" w:rsidP="00AA11E7">
            <w:pPr>
              <w:pStyle w:val="ListParagraph"/>
              <w:numPr>
                <w:ilvl w:val="0"/>
                <w:numId w:val="4"/>
              </w:numPr>
              <w:ind w:left="360"/>
            </w:pPr>
            <w:r>
              <w:t>Points…..</w:t>
            </w:r>
          </w:p>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Default="002641BD" w:rsidP="002641BD"/>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Default="002641BD" w:rsidP="002641BD"/>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Default="002641BD" w:rsidP="002641BD"/>
          <w:p w:rsidR="002641BD" w:rsidRDefault="002641BD" w:rsidP="002641BD">
            <w:pPr>
              <w:rPr>
                <w:b/>
              </w:rPr>
            </w:pPr>
            <w:r>
              <w:rPr>
                <w:b/>
              </w:rPr>
              <w:t>Heading</w:t>
            </w:r>
          </w:p>
          <w:p w:rsidR="002641BD" w:rsidRPr="005C03A0" w:rsidRDefault="002641BD" w:rsidP="002641BD">
            <w:r>
              <w:t>Explanatory notes/discussion</w:t>
            </w:r>
            <w:r w:rsidRPr="005C03A0">
              <w:t>:</w:t>
            </w:r>
          </w:p>
          <w:p w:rsidR="002641BD" w:rsidRDefault="002641BD" w:rsidP="002641BD">
            <w:pPr>
              <w:pStyle w:val="ListParagraph"/>
              <w:numPr>
                <w:ilvl w:val="0"/>
                <w:numId w:val="4"/>
              </w:numPr>
              <w:ind w:left="360"/>
            </w:pPr>
            <w:r>
              <w:t>Points (if any)…</w:t>
            </w:r>
          </w:p>
          <w:p w:rsidR="002641BD" w:rsidRDefault="002641BD" w:rsidP="002641BD">
            <w:pPr>
              <w:pStyle w:val="ListParagraph"/>
              <w:numPr>
                <w:ilvl w:val="0"/>
                <w:numId w:val="4"/>
              </w:numPr>
              <w:ind w:left="360"/>
            </w:pPr>
            <w:r>
              <w:t>Points…..</w:t>
            </w:r>
          </w:p>
          <w:p w:rsidR="002641BD" w:rsidRPr="003901E9" w:rsidRDefault="002641BD" w:rsidP="002641BD">
            <w:pPr>
              <w:pStyle w:val="ListParagraph"/>
              <w:ind w:left="360"/>
            </w:pPr>
          </w:p>
        </w:tc>
        <w:tc>
          <w:tcPr>
            <w:tcW w:w="918" w:type="dxa"/>
          </w:tcPr>
          <w:p w:rsidR="002641BD" w:rsidRDefault="002641BD" w:rsidP="00AA11E7">
            <w:pPr>
              <w:jc w:val="center"/>
            </w:pPr>
          </w:p>
        </w:tc>
      </w:tr>
    </w:tbl>
    <w:p w:rsidR="002641BD" w:rsidRDefault="002641BD"/>
    <w:p w:rsidR="00282A6A" w:rsidRDefault="00282A6A">
      <w:pPr>
        <w:spacing w:after="120"/>
      </w:pPr>
      <w:bookmarkStart w:id="0" w:name="_GoBack"/>
      <w:bookmarkEnd w:id="0"/>
    </w:p>
    <w:tbl>
      <w:tblPr>
        <w:tblStyle w:val="TableGrid"/>
        <w:tblW w:w="0" w:type="auto"/>
        <w:tblLook w:val="04A0" w:firstRow="1" w:lastRow="0" w:firstColumn="1" w:lastColumn="0" w:noHBand="0" w:noVBand="1"/>
      </w:tblPr>
      <w:tblGrid>
        <w:gridCol w:w="8658"/>
        <w:gridCol w:w="918"/>
      </w:tblGrid>
      <w:tr w:rsidR="00282A6A" w:rsidTr="00AA11E7">
        <w:tc>
          <w:tcPr>
            <w:tcW w:w="9576" w:type="dxa"/>
            <w:gridSpan w:val="2"/>
          </w:tcPr>
          <w:p w:rsidR="00282A6A" w:rsidRPr="005C03A0" w:rsidRDefault="00282A6A" w:rsidP="00AA11E7">
            <w:pPr>
              <w:rPr>
                <w:b/>
                <w:sz w:val="28"/>
                <w:szCs w:val="28"/>
              </w:rPr>
            </w:pPr>
            <w:r>
              <w:rPr>
                <w:b/>
                <w:sz w:val="28"/>
                <w:szCs w:val="28"/>
              </w:rPr>
              <w:t>P</w:t>
            </w:r>
            <w:r>
              <w:rPr>
                <w:b/>
                <w:sz w:val="28"/>
                <w:szCs w:val="28"/>
              </w:rPr>
              <w:t>11 – Electronic AIP</w:t>
            </w:r>
          </w:p>
          <w:p w:rsidR="00282A6A" w:rsidRDefault="00282A6A" w:rsidP="00AA11E7">
            <w:pPr>
              <w:rPr>
                <w:b/>
              </w:rPr>
            </w:pPr>
          </w:p>
          <w:p w:rsidR="00282A6A" w:rsidRPr="00282A6A" w:rsidRDefault="00282A6A" w:rsidP="00282A6A">
            <w:pPr>
              <w:autoSpaceDE w:val="0"/>
              <w:autoSpaceDN w:val="0"/>
              <w:adjustRightInd w:val="0"/>
              <w:rPr>
                <w:rFonts w:ascii="ArialMT" w:hAnsi="ArialMT" w:cs="ArialMT"/>
                <w:i/>
                <w:sz w:val="18"/>
                <w:szCs w:val="18"/>
              </w:rPr>
            </w:pPr>
            <w:r w:rsidRPr="00282A6A">
              <w:rPr>
                <w:rFonts w:ascii="ArialMT" w:hAnsi="ArialMT" w:cs="ArialMT"/>
                <w:i/>
                <w:sz w:val="18"/>
                <w:szCs w:val="18"/>
              </w:rPr>
              <w:t xml:space="preserve">The integrated aeronautical information package will not be phased out. On the </w:t>
            </w:r>
            <w:r>
              <w:rPr>
                <w:rFonts w:ascii="ArialMT" w:hAnsi="ArialMT" w:cs="ArialMT"/>
                <w:i/>
                <w:sz w:val="18"/>
                <w:szCs w:val="18"/>
              </w:rPr>
              <w:t xml:space="preserve">contrary, it will be adapted to </w:t>
            </w:r>
            <w:r w:rsidRPr="00282A6A">
              <w:rPr>
                <w:rFonts w:ascii="ArialMT" w:hAnsi="ArialMT" w:cs="ArialMT"/>
                <w:i/>
                <w:sz w:val="18"/>
                <w:szCs w:val="18"/>
              </w:rPr>
              <w:t>include the new data products needed during the transition to AIM.</w:t>
            </w:r>
          </w:p>
          <w:p w:rsidR="00282A6A" w:rsidRPr="00282A6A" w:rsidRDefault="00282A6A" w:rsidP="00282A6A">
            <w:pPr>
              <w:autoSpaceDE w:val="0"/>
              <w:autoSpaceDN w:val="0"/>
              <w:adjustRightInd w:val="0"/>
              <w:rPr>
                <w:rFonts w:ascii="ArialMT" w:hAnsi="ArialMT" w:cs="ArialMT"/>
                <w:i/>
                <w:sz w:val="18"/>
                <w:szCs w:val="18"/>
              </w:rPr>
            </w:pPr>
          </w:p>
          <w:p w:rsidR="00282A6A" w:rsidRPr="00282A6A" w:rsidRDefault="00282A6A" w:rsidP="00282A6A">
            <w:pPr>
              <w:autoSpaceDE w:val="0"/>
              <w:autoSpaceDN w:val="0"/>
              <w:adjustRightInd w:val="0"/>
              <w:rPr>
                <w:rFonts w:ascii="ArialMT" w:hAnsi="ArialMT" w:cs="ArialMT"/>
                <w:i/>
                <w:sz w:val="18"/>
                <w:szCs w:val="18"/>
              </w:rPr>
            </w:pPr>
            <w:r w:rsidRPr="00282A6A">
              <w:rPr>
                <w:rFonts w:ascii="ArialMT" w:hAnsi="ArialMT" w:cs="ArialMT"/>
                <w:i/>
                <w:sz w:val="18"/>
                <w:szCs w:val="18"/>
              </w:rPr>
              <w:t>The electronic version of the AIP will be defined in two forms: a printable documen</w:t>
            </w:r>
            <w:r>
              <w:rPr>
                <w:rFonts w:ascii="ArialMT" w:hAnsi="ArialMT" w:cs="ArialMT"/>
                <w:i/>
                <w:sz w:val="18"/>
                <w:szCs w:val="18"/>
              </w:rPr>
              <w:t xml:space="preserve">t and one that can be viewed by </w:t>
            </w:r>
            <w:r w:rsidRPr="00282A6A">
              <w:rPr>
                <w:rFonts w:ascii="ArialMT" w:hAnsi="ArialMT" w:cs="ArialMT"/>
                <w:i/>
                <w:sz w:val="18"/>
                <w:szCs w:val="18"/>
              </w:rPr>
              <w:t>web browsers.</w:t>
            </w:r>
          </w:p>
          <w:p w:rsidR="00282A6A" w:rsidRPr="00065040" w:rsidRDefault="00282A6A" w:rsidP="00282A6A">
            <w:pPr>
              <w:rPr>
                <w:i/>
              </w:rPr>
            </w:pPr>
          </w:p>
        </w:tc>
      </w:tr>
      <w:tr w:rsidR="00282A6A" w:rsidTr="00AA11E7">
        <w:tc>
          <w:tcPr>
            <w:tcW w:w="8658" w:type="dxa"/>
          </w:tcPr>
          <w:p w:rsidR="00282A6A" w:rsidRDefault="00282A6A" w:rsidP="00AA11E7">
            <w:pPr>
              <w:rPr>
                <w:i/>
              </w:rPr>
            </w:pPr>
          </w:p>
          <w:p w:rsidR="00282A6A" w:rsidRPr="005C03A0" w:rsidRDefault="00282A6A" w:rsidP="00AA11E7">
            <w:pPr>
              <w:rPr>
                <w:i/>
              </w:rPr>
            </w:pPr>
            <w:r w:rsidRPr="005C03A0">
              <w:rPr>
                <w:i/>
              </w:rPr>
              <w:t xml:space="preserve">Enter headings and </w:t>
            </w:r>
            <w:r>
              <w:rPr>
                <w:i/>
              </w:rPr>
              <w:t xml:space="preserve">brief </w:t>
            </w:r>
            <w:r w:rsidRPr="005C03A0">
              <w:rPr>
                <w:i/>
              </w:rPr>
              <w:t>explanatory notes to form a checklist of actions/recommendations to implement the AIM transition Step</w:t>
            </w:r>
          </w:p>
          <w:p w:rsidR="00282A6A" w:rsidRDefault="00282A6A" w:rsidP="00AA11E7">
            <w:pPr>
              <w:rPr>
                <w:b/>
              </w:rPr>
            </w:pPr>
          </w:p>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Default="00282A6A" w:rsidP="00AA11E7"/>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Default="00282A6A" w:rsidP="00AA11E7"/>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Default="00282A6A" w:rsidP="00282A6A">
            <w:pPr>
              <w:pStyle w:val="ListParagraph"/>
              <w:ind w:left="360"/>
            </w:pPr>
          </w:p>
          <w:p w:rsidR="00282A6A" w:rsidRDefault="00282A6A" w:rsidP="00AA11E7">
            <w:pPr>
              <w:rPr>
                <w:b/>
              </w:rPr>
            </w:pPr>
            <w:r>
              <w:rPr>
                <w:b/>
              </w:rPr>
              <w:t>Heading</w:t>
            </w:r>
          </w:p>
          <w:p w:rsidR="00282A6A" w:rsidRPr="005C03A0" w:rsidRDefault="00282A6A" w:rsidP="00AA11E7">
            <w:r>
              <w:t>Explanatory notes/discussion</w:t>
            </w:r>
            <w:r w:rsidRPr="005C03A0">
              <w:t>:</w:t>
            </w:r>
          </w:p>
          <w:p w:rsidR="00282A6A" w:rsidRDefault="00282A6A" w:rsidP="00AA11E7">
            <w:pPr>
              <w:pStyle w:val="ListParagraph"/>
              <w:numPr>
                <w:ilvl w:val="0"/>
                <w:numId w:val="4"/>
              </w:numPr>
              <w:ind w:left="360"/>
            </w:pPr>
            <w:r>
              <w:t>Points (if any)…</w:t>
            </w:r>
          </w:p>
          <w:p w:rsidR="00282A6A" w:rsidRDefault="00282A6A" w:rsidP="00AA11E7">
            <w:pPr>
              <w:pStyle w:val="ListParagraph"/>
              <w:numPr>
                <w:ilvl w:val="0"/>
                <w:numId w:val="4"/>
              </w:numPr>
              <w:ind w:left="360"/>
            </w:pPr>
            <w:r>
              <w:t>Points…..</w:t>
            </w:r>
          </w:p>
          <w:p w:rsidR="00282A6A" w:rsidRPr="003901E9" w:rsidRDefault="00282A6A" w:rsidP="00AA11E7">
            <w:pPr>
              <w:pStyle w:val="ListParagraph"/>
              <w:ind w:left="360"/>
            </w:pPr>
          </w:p>
        </w:tc>
        <w:tc>
          <w:tcPr>
            <w:tcW w:w="918" w:type="dxa"/>
          </w:tcPr>
          <w:p w:rsidR="00282A6A" w:rsidRDefault="00282A6A" w:rsidP="00AA11E7">
            <w:pPr>
              <w:jc w:val="center"/>
            </w:pPr>
          </w:p>
        </w:tc>
      </w:tr>
    </w:tbl>
    <w:p w:rsidR="00282A6A" w:rsidRDefault="00282A6A"/>
    <w:sectPr w:rsidR="00282A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EF" w:rsidRDefault="006E37EF" w:rsidP="00C552C1">
      <w:r>
        <w:separator/>
      </w:r>
    </w:p>
  </w:endnote>
  <w:endnote w:type="continuationSeparator" w:id="0">
    <w:p w:rsidR="006E37EF" w:rsidRDefault="006E37EF" w:rsidP="00C5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EF" w:rsidRDefault="006E37EF" w:rsidP="00C552C1">
      <w:r>
        <w:separator/>
      </w:r>
    </w:p>
  </w:footnote>
  <w:footnote w:type="continuationSeparator" w:id="0">
    <w:p w:rsidR="006E37EF" w:rsidRDefault="006E37EF" w:rsidP="00C5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C1" w:rsidRDefault="00C552C1" w:rsidP="00C552C1">
    <w:pPr>
      <w:pStyle w:val="Header"/>
      <w:jc w:val="right"/>
    </w:pPr>
    <w:r>
      <w:t>AAITF/9 – Flimsy 3</w:t>
    </w:r>
  </w:p>
  <w:p w:rsidR="00C552C1" w:rsidRDefault="00C552C1" w:rsidP="00C552C1">
    <w:pPr>
      <w:pStyle w:val="Header"/>
      <w:jc w:val="right"/>
    </w:pPr>
    <w:r>
      <w:t>24-27/6/2014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B45"/>
    <w:multiLevelType w:val="hybridMultilevel"/>
    <w:tmpl w:val="2EF0F2F6"/>
    <w:lvl w:ilvl="0" w:tplc="7EFAD11C">
      <w:start w:val="1"/>
      <w:numFmt w:val="bullet"/>
      <w:lvlText w:val="•"/>
      <w:lvlJc w:val="left"/>
      <w:pPr>
        <w:tabs>
          <w:tab w:val="num" w:pos="720"/>
        </w:tabs>
        <w:ind w:left="720" w:hanging="360"/>
      </w:pPr>
      <w:rPr>
        <w:rFonts w:ascii="Arial" w:hAnsi="Arial" w:hint="default"/>
      </w:rPr>
    </w:lvl>
    <w:lvl w:ilvl="1" w:tplc="D5607724" w:tentative="1">
      <w:start w:val="1"/>
      <w:numFmt w:val="bullet"/>
      <w:lvlText w:val="•"/>
      <w:lvlJc w:val="left"/>
      <w:pPr>
        <w:tabs>
          <w:tab w:val="num" w:pos="1440"/>
        </w:tabs>
        <w:ind w:left="1440" w:hanging="360"/>
      </w:pPr>
      <w:rPr>
        <w:rFonts w:ascii="Arial" w:hAnsi="Arial" w:hint="default"/>
      </w:rPr>
    </w:lvl>
    <w:lvl w:ilvl="2" w:tplc="11CAC366" w:tentative="1">
      <w:start w:val="1"/>
      <w:numFmt w:val="bullet"/>
      <w:lvlText w:val="•"/>
      <w:lvlJc w:val="left"/>
      <w:pPr>
        <w:tabs>
          <w:tab w:val="num" w:pos="2160"/>
        </w:tabs>
        <w:ind w:left="2160" w:hanging="360"/>
      </w:pPr>
      <w:rPr>
        <w:rFonts w:ascii="Arial" w:hAnsi="Arial" w:hint="default"/>
      </w:rPr>
    </w:lvl>
    <w:lvl w:ilvl="3" w:tplc="CC26494E" w:tentative="1">
      <w:start w:val="1"/>
      <w:numFmt w:val="bullet"/>
      <w:lvlText w:val="•"/>
      <w:lvlJc w:val="left"/>
      <w:pPr>
        <w:tabs>
          <w:tab w:val="num" w:pos="2880"/>
        </w:tabs>
        <w:ind w:left="2880" w:hanging="360"/>
      </w:pPr>
      <w:rPr>
        <w:rFonts w:ascii="Arial" w:hAnsi="Arial" w:hint="default"/>
      </w:rPr>
    </w:lvl>
    <w:lvl w:ilvl="4" w:tplc="B5CC099C" w:tentative="1">
      <w:start w:val="1"/>
      <w:numFmt w:val="bullet"/>
      <w:lvlText w:val="•"/>
      <w:lvlJc w:val="left"/>
      <w:pPr>
        <w:tabs>
          <w:tab w:val="num" w:pos="3600"/>
        </w:tabs>
        <w:ind w:left="3600" w:hanging="360"/>
      </w:pPr>
      <w:rPr>
        <w:rFonts w:ascii="Arial" w:hAnsi="Arial" w:hint="default"/>
      </w:rPr>
    </w:lvl>
    <w:lvl w:ilvl="5" w:tplc="E19A66D6" w:tentative="1">
      <w:start w:val="1"/>
      <w:numFmt w:val="bullet"/>
      <w:lvlText w:val="•"/>
      <w:lvlJc w:val="left"/>
      <w:pPr>
        <w:tabs>
          <w:tab w:val="num" w:pos="4320"/>
        </w:tabs>
        <w:ind w:left="4320" w:hanging="360"/>
      </w:pPr>
      <w:rPr>
        <w:rFonts w:ascii="Arial" w:hAnsi="Arial" w:hint="default"/>
      </w:rPr>
    </w:lvl>
    <w:lvl w:ilvl="6" w:tplc="A1D4AFC0" w:tentative="1">
      <w:start w:val="1"/>
      <w:numFmt w:val="bullet"/>
      <w:lvlText w:val="•"/>
      <w:lvlJc w:val="left"/>
      <w:pPr>
        <w:tabs>
          <w:tab w:val="num" w:pos="5040"/>
        </w:tabs>
        <w:ind w:left="5040" w:hanging="360"/>
      </w:pPr>
      <w:rPr>
        <w:rFonts w:ascii="Arial" w:hAnsi="Arial" w:hint="default"/>
      </w:rPr>
    </w:lvl>
    <w:lvl w:ilvl="7" w:tplc="E1C4B6CC" w:tentative="1">
      <w:start w:val="1"/>
      <w:numFmt w:val="bullet"/>
      <w:lvlText w:val="•"/>
      <w:lvlJc w:val="left"/>
      <w:pPr>
        <w:tabs>
          <w:tab w:val="num" w:pos="5760"/>
        </w:tabs>
        <w:ind w:left="5760" w:hanging="360"/>
      </w:pPr>
      <w:rPr>
        <w:rFonts w:ascii="Arial" w:hAnsi="Arial" w:hint="default"/>
      </w:rPr>
    </w:lvl>
    <w:lvl w:ilvl="8" w:tplc="287C8E28" w:tentative="1">
      <w:start w:val="1"/>
      <w:numFmt w:val="bullet"/>
      <w:lvlText w:val="•"/>
      <w:lvlJc w:val="left"/>
      <w:pPr>
        <w:tabs>
          <w:tab w:val="num" w:pos="6480"/>
        </w:tabs>
        <w:ind w:left="6480" w:hanging="360"/>
      </w:pPr>
      <w:rPr>
        <w:rFonts w:ascii="Arial" w:hAnsi="Arial" w:hint="default"/>
      </w:rPr>
    </w:lvl>
  </w:abstractNum>
  <w:abstractNum w:abstractNumId="1">
    <w:nsid w:val="21D1124F"/>
    <w:multiLevelType w:val="hybridMultilevel"/>
    <w:tmpl w:val="45B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06619"/>
    <w:multiLevelType w:val="hybridMultilevel"/>
    <w:tmpl w:val="B1A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71497"/>
    <w:multiLevelType w:val="hybridMultilevel"/>
    <w:tmpl w:val="4D2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25CF0"/>
    <w:multiLevelType w:val="hybridMultilevel"/>
    <w:tmpl w:val="60A8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471F4"/>
    <w:multiLevelType w:val="hybridMultilevel"/>
    <w:tmpl w:val="893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39"/>
    <w:rsid w:val="00065040"/>
    <w:rsid w:val="002641BD"/>
    <w:rsid w:val="00282A6A"/>
    <w:rsid w:val="003901E9"/>
    <w:rsid w:val="00440FA4"/>
    <w:rsid w:val="004C37C3"/>
    <w:rsid w:val="005C03A0"/>
    <w:rsid w:val="006E37EF"/>
    <w:rsid w:val="008970C2"/>
    <w:rsid w:val="00A61E39"/>
    <w:rsid w:val="00C379AD"/>
    <w:rsid w:val="00C552C1"/>
    <w:rsid w:val="00C63EA2"/>
    <w:rsid w:val="00E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0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0C2"/>
    <w:pPr>
      <w:ind w:left="720"/>
      <w:contextualSpacing/>
    </w:pPr>
  </w:style>
  <w:style w:type="paragraph" w:styleId="BalloonText">
    <w:name w:val="Balloon Text"/>
    <w:basedOn w:val="Normal"/>
    <w:link w:val="BalloonTextChar"/>
    <w:uiPriority w:val="99"/>
    <w:semiHidden/>
    <w:unhideWhenUsed/>
    <w:rsid w:val="003901E9"/>
    <w:rPr>
      <w:rFonts w:ascii="Tahoma" w:hAnsi="Tahoma" w:cs="Tahoma"/>
      <w:sz w:val="16"/>
      <w:szCs w:val="16"/>
    </w:rPr>
  </w:style>
  <w:style w:type="character" w:customStyle="1" w:styleId="BalloonTextChar">
    <w:name w:val="Balloon Text Char"/>
    <w:basedOn w:val="DefaultParagraphFont"/>
    <w:link w:val="BalloonText"/>
    <w:uiPriority w:val="99"/>
    <w:semiHidden/>
    <w:rsid w:val="003901E9"/>
    <w:rPr>
      <w:rFonts w:ascii="Tahoma" w:hAnsi="Tahoma" w:cs="Tahoma"/>
      <w:sz w:val="16"/>
      <w:szCs w:val="16"/>
    </w:rPr>
  </w:style>
  <w:style w:type="paragraph" w:styleId="Header">
    <w:name w:val="header"/>
    <w:basedOn w:val="Normal"/>
    <w:link w:val="HeaderChar"/>
    <w:uiPriority w:val="99"/>
    <w:unhideWhenUsed/>
    <w:rsid w:val="00C552C1"/>
    <w:pPr>
      <w:tabs>
        <w:tab w:val="center" w:pos="4680"/>
        <w:tab w:val="right" w:pos="9360"/>
      </w:tabs>
    </w:pPr>
  </w:style>
  <w:style w:type="character" w:customStyle="1" w:styleId="HeaderChar">
    <w:name w:val="Header Char"/>
    <w:basedOn w:val="DefaultParagraphFont"/>
    <w:link w:val="Header"/>
    <w:uiPriority w:val="99"/>
    <w:rsid w:val="00C552C1"/>
  </w:style>
  <w:style w:type="paragraph" w:styleId="Footer">
    <w:name w:val="footer"/>
    <w:basedOn w:val="Normal"/>
    <w:link w:val="FooterChar"/>
    <w:uiPriority w:val="99"/>
    <w:unhideWhenUsed/>
    <w:rsid w:val="00C552C1"/>
    <w:pPr>
      <w:tabs>
        <w:tab w:val="center" w:pos="4680"/>
        <w:tab w:val="right" w:pos="9360"/>
      </w:tabs>
    </w:pPr>
  </w:style>
  <w:style w:type="character" w:customStyle="1" w:styleId="FooterChar">
    <w:name w:val="Footer Char"/>
    <w:basedOn w:val="DefaultParagraphFont"/>
    <w:link w:val="Footer"/>
    <w:uiPriority w:val="99"/>
    <w:rsid w:val="00C55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0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0C2"/>
    <w:pPr>
      <w:ind w:left="720"/>
      <w:contextualSpacing/>
    </w:pPr>
  </w:style>
  <w:style w:type="paragraph" w:styleId="BalloonText">
    <w:name w:val="Balloon Text"/>
    <w:basedOn w:val="Normal"/>
    <w:link w:val="BalloonTextChar"/>
    <w:uiPriority w:val="99"/>
    <w:semiHidden/>
    <w:unhideWhenUsed/>
    <w:rsid w:val="003901E9"/>
    <w:rPr>
      <w:rFonts w:ascii="Tahoma" w:hAnsi="Tahoma" w:cs="Tahoma"/>
      <w:sz w:val="16"/>
      <w:szCs w:val="16"/>
    </w:rPr>
  </w:style>
  <w:style w:type="character" w:customStyle="1" w:styleId="BalloonTextChar">
    <w:name w:val="Balloon Text Char"/>
    <w:basedOn w:val="DefaultParagraphFont"/>
    <w:link w:val="BalloonText"/>
    <w:uiPriority w:val="99"/>
    <w:semiHidden/>
    <w:rsid w:val="003901E9"/>
    <w:rPr>
      <w:rFonts w:ascii="Tahoma" w:hAnsi="Tahoma" w:cs="Tahoma"/>
      <w:sz w:val="16"/>
      <w:szCs w:val="16"/>
    </w:rPr>
  </w:style>
  <w:style w:type="paragraph" w:styleId="Header">
    <w:name w:val="header"/>
    <w:basedOn w:val="Normal"/>
    <w:link w:val="HeaderChar"/>
    <w:uiPriority w:val="99"/>
    <w:unhideWhenUsed/>
    <w:rsid w:val="00C552C1"/>
    <w:pPr>
      <w:tabs>
        <w:tab w:val="center" w:pos="4680"/>
        <w:tab w:val="right" w:pos="9360"/>
      </w:tabs>
    </w:pPr>
  </w:style>
  <w:style w:type="character" w:customStyle="1" w:styleId="HeaderChar">
    <w:name w:val="Header Char"/>
    <w:basedOn w:val="DefaultParagraphFont"/>
    <w:link w:val="Header"/>
    <w:uiPriority w:val="99"/>
    <w:rsid w:val="00C552C1"/>
  </w:style>
  <w:style w:type="paragraph" w:styleId="Footer">
    <w:name w:val="footer"/>
    <w:basedOn w:val="Normal"/>
    <w:link w:val="FooterChar"/>
    <w:uiPriority w:val="99"/>
    <w:unhideWhenUsed/>
    <w:rsid w:val="00C552C1"/>
    <w:pPr>
      <w:tabs>
        <w:tab w:val="center" w:pos="4680"/>
        <w:tab w:val="right" w:pos="9360"/>
      </w:tabs>
    </w:pPr>
  </w:style>
  <w:style w:type="character" w:customStyle="1" w:styleId="FooterChar">
    <w:name w:val="Footer Char"/>
    <w:basedOn w:val="DefaultParagraphFont"/>
    <w:link w:val="Footer"/>
    <w:uiPriority w:val="99"/>
    <w:rsid w:val="00C5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1779">
      <w:bodyDiv w:val="1"/>
      <w:marLeft w:val="0"/>
      <w:marRight w:val="0"/>
      <w:marTop w:val="0"/>
      <w:marBottom w:val="0"/>
      <w:divBdr>
        <w:top w:val="none" w:sz="0" w:space="0" w:color="auto"/>
        <w:left w:val="none" w:sz="0" w:space="0" w:color="auto"/>
        <w:bottom w:val="none" w:sz="0" w:space="0" w:color="auto"/>
        <w:right w:val="none" w:sz="0" w:space="0" w:color="auto"/>
      </w:divBdr>
      <w:divsChild>
        <w:div w:id="1223831919">
          <w:marLeft w:val="547"/>
          <w:marRight w:val="0"/>
          <w:marTop w:val="115"/>
          <w:marBottom w:val="0"/>
          <w:divBdr>
            <w:top w:val="none" w:sz="0" w:space="0" w:color="auto"/>
            <w:left w:val="none" w:sz="0" w:space="0" w:color="auto"/>
            <w:bottom w:val="none" w:sz="0" w:space="0" w:color="auto"/>
            <w:right w:val="none" w:sz="0" w:space="0" w:color="auto"/>
          </w:divBdr>
        </w:div>
      </w:divsChild>
    </w:div>
    <w:div w:id="1135097383">
      <w:bodyDiv w:val="1"/>
      <w:marLeft w:val="0"/>
      <w:marRight w:val="0"/>
      <w:marTop w:val="0"/>
      <w:marBottom w:val="0"/>
      <w:divBdr>
        <w:top w:val="none" w:sz="0" w:space="0" w:color="auto"/>
        <w:left w:val="none" w:sz="0" w:space="0" w:color="auto"/>
        <w:bottom w:val="none" w:sz="0" w:space="0" w:color="auto"/>
        <w:right w:val="none" w:sz="0" w:space="0" w:color="auto"/>
      </w:divBdr>
      <w:divsChild>
        <w:div w:id="14201753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FDF36793D274FB4FC390461256B86" ma:contentTypeVersion="5" ma:contentTypeDescription="Create a new document." ma:contentTypeScope="" ma:versionID="26a526d78c881122ebca3fdf2d3fb9f9">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Flimsy</Category>
    <Type_x0020_Name xmlns="2b0c29a6-a2e0-472b-bfb4-397922b0132f">2014 AAITF9</Type_x0020_Name>
    <Presenter xmlns="2b0c29a6-a2e0-472b-bfb4-397922b0132f">Secretariat</Presenter>
    <Update_x0020_Date xmlns="2b0c29a6-a2e0-472b-bfb4-397922b0132f">June 25, 2014</Update_x0020_Date>
    <Number xmlns="2b0c29a6-a2e0-472b-bfb4-397922b0132f">Flimsy03</Number>
  </documentManagement>
</p:properties>
</file>

<file path=customXml/itemProps1.xml><?xml version="1.0" encoding="utf-8"?>
<ds:datastoreItem xmlns:ds="http://schemas.openxmlformats.org/officeDocument/2006/customXml" ds:itemID="{A58A428F-FC43-49CE-B66B-1662DF352957}"/>
</file>

<file path=customXml/itemProps2.xml><?xml version="1.0" encoding="utf-8"?>
<ds:datastoreItem xmlns:ds="http://schemas.openxmlformats.org/officeDocument/2006/customXml" ds:itemID="{73CDF425-289B-4A9F-A015-EA451D9A4230}"/>
</file>

<file path=customXml/itemProps3.xml><?xml version="1.0" encoding="utf-8"?>
<ds:datastoreItem xmlns:ds="http://schemas.openxmlformats.org/officeDocument/2006/customXml" ds:itemID="{7AD68F9C-4528-4FC6-AE53-784253936C17}"/>
</file>

<file path=docProps/app.xml><?xml version="1.0" encoding="utf-8"?>
<Properties xmlns="http://schemas.openxmlformats.org/officeDocument/2006/extended-properties" xmlns:vt="http://schemas.openxmlformats.org/officeDocument/2006/docPropsVTypes">
  <Template>Normal</Template>
  <TotalTime>660</TotalTime>
  <Pages>4</Pages>
  <Words>807</Words>
  <Characters>4392</Characters>
  <Application>Microsoft Office Word</Application>
  <DocSecurity>0</DocSecurity>
  <Lines>337</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Transition Guidance Worksheet</dc:title>
  <dc:creator>Shane Sumner</dc:creator>
  <cp:lastModifiedBy>Shane Sumner</cp:lastModifiedBy>
  <cp:revision>3</cp:revision>
  <dcterms:created xsi:type="dcterms:W3CDTF">2014-06-24T15:44:00Z</dcterms:created>
  <dcterms:modified xsi:type="dcterms:W3CDTF">2014-06-25T03:10:00Z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0x0101008BBFDF36793D274FB4FC390461256B86</vt:lpwstr>
  </property>
</Properties>
</file>